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87C5" w14:textId="136FC5BC" w:rsidR="00E10533" w:rsidRDefault="00E10533" w:rsidP="00E64E23">
      <w:pPr>
        <w:spacing w:after="0" w:line="240" w:lineRule="auto"/>
        <w:rPr>
          <w:rFonts w:asciiTheme="minorHAnsi" w:eastAsia="Times New Roman" w:hAnsiTheme="minorHAnsi"/>
        </w:rPr>
      </w:pPr>
    </w:p>
    <w:p w14:paraId="2C150A1D" w14:textId="77777777" w:rsidR="00E10533" w:rsidRPr="00D56976" w:rsidRDefault="00E10533" w:rsidP="00E1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3E31B4E8" w14:textId="17BAABC3" w:rsidR="00E10533" w:rsidRPr="00D56976" w:rsidRDefault="00E10533" w:rsidP="00CA71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20"/>
          <w:tab w:val="center" w:pos="4680"/>
        </w:tabs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sz w:val="28"/>
          <w:szCs w:val="28"/>
        </w:rPr>
      </w:pPr>
      <w:r w:rsidRPr="00D56976">
        <w:rPr>
          <w:rFonts w:asciiTheme="minorHAnsi" w:eastAsia="Times New Roman" w:hAnsiTheme="minorHAnsi"/>
          <w:b/>
          <w:sz w:val="28"/>
          <w:szCs w:val="28"/>
        </w:rPr>
        <w:t xml:space="preserve">Minnetonka </w:t>
      </w:r>
      <w:r>
        <w:rPr>
          <w:rFonts w:asciiTheme="minorHAnsi" w:eastAsia="Times New Roman" w:hAnsiTheme="minorHAnsi"/>
          <w:b/>
          <w:sz w:val="28"/>
          <w:szCs w:val="28"/>
        </w:rPr>
        <w:t>Pathways to Homeownership Program</w:t>
      </w:r>
    </w:p>
    <w:p w14:paraId="13F5EEDE" w14:textId="77777777" w:rsidR="00E10533" w:rsidRPr="00D56976" w:rsidRDefault="00E10533" w:rsidP="00E1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5CD9722B" w14:textId="77777777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  <w:sz w:val="24"/>
          <w:szCs w:val="20"/>
        </w:rPr>
      </w:pPr>
    </w:p>
    <w:p w14:paraId="1CFDCC51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</w:p>
    <w:p w14:paraId="4F93FA18" w14:textId="3681705B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Interest Rate:</w:t>
      </w:r>
      <w:r w:rsidRPr="00D56976">
        <w:rPr>
          <w:rFonts w:asciiTheme="minorHAnsi" w:eastAsia="Times New Roman" w:hAnsiTheme="minorHAnsi"/>
        </w:rPr>
        <w:t xml:space="preserve">  </w:t>
      </w:r>
      <w:r w:rsidR="00CA71A2">
        <w:rPr>
          <w:rFonts w:asciiTheme="minorHAnsi" w:eastAsia="Times New Roman" w:hAnsiTheme="minorHAnsi"/>
        </w:rPr>
        <w:t>0</w:t>
      </w:r>
      <w:r w:rsidRPr="00D56976">
        <w:rPr>
          <w:rFonts w:asciiTheme="minorHAnsi" w:eastAsia="Times New Roman" w:hAnsiTheme="minorHAnsi"/>
        </w:rPr>
        <w:t>% fixed</w:t>
      </w:r>
    </w:p>
    <w:p w14:paraId="7AEE4D2C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  <w:u w:val="single"/>
        </w:rPr>
      </w:pPr>
    </w:p>
    <w:p w14:paraId="231384C0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Amortization Type:</w:t>
      </w:r>
      <w:r w:rsidRPr="00D56976">
        <w:rPr>
          <w:rFonts w:asciiTheme="minorHAnsi" w:eastAsia="Times New Roman" w:hAnsiTheme="minorHAnsi"/>
        </w:rPr>
        <w:t xml:space="preserve">  </w:t>
      </w:r>
      <w:r>
        <w:rPr>
          <w:rFonts w:asciiTheme="minorHAnsi" w:eastAsia="Times New Roman" w:hAnsiTheme="minorHAnsi"/>
        </w:rPr>
        <w:t>Deferred</w:t>
      </w:r>
    </w:p>
    <w:p w14:paraId="3ED885A7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  <w:u w:val="single"/>
        </w:rPr>
      </w:pPr>
    </w:p>
    <w:p w14:paraId="5A405DF8" w14:textId="20C7780A" w:rsidR="005941AD" w:rsidRDefault="00E10533" w:rsidP="00E1053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</w:rPr>
      </w:pPr>
      <w:r w:rsidRPr="00D56976">
        <w:rPr>
          <w:rFonts w:asciiTheme="minorHAnsi" w:eastAsia="Times New Roman" w:hAnsiTheme="minorHAnsi"/>
          <w:b/>
          <w:u w:val="single"/>
        </w:rPr>
        <w:t>Loan Amount:</w:t>
      </w:r>
      <w:r w:rsidRPr="00D56976">
        <w:rPr>
          <w:rFonts w:asciiTheme="minorHAnsi" w:eastAsia="Times New Roman" w:hAnsiTheme="minorHAnsi"/>
        </w:rPr>
        <w:t xml:space="preserve">  </w:t>
      </w:r>
      <w:r w:rsidR="005941AD">
        <w:rPr>
          <w:rFonts w:asciiTheme="minorHAnsi" w:eastAsia="Times New Roman" w:hAnsiTheme="minorHAnsi"/>
        </w:rPr>
        <w:t>The maximum loan amount will be based on the household’s income and the purchase price of the property</w:t>
      </w:r>
      <w:r>
        <w:rPr>
          <w:rFonts w:asciiTheme="minorHAnsi" w:eastAsia="Times New Roman" w:hAnsiTheme="minorHAnsi"/>
        </w:rPr>
        <w:t xml:space="preserve">. </w:t>
      </w:r>
      <w:r w:rsidR="005941AD">
        <w:rPr>
          <w:rFonts w:asciiTheme="minorHAnsi" w:eastAsia="Times New Roman" w:hAnsiTheme="minorHAnsi"/>
        </w:rPr>
        <w:t xml:space="preserve">  The purchase price cannot exceed the 12 month rolling median home sale price in Minnetonka, as published in the Minneapolis Area Realtors Annual Housing Market Report ($</w:t>
      </w:r>
      <w:r w:rsidR="00D71128">
        <w:rPr>
          <w:rFonts w:asciiTheme="minorHAnsi" w:eastAsia="Times New Roman" w:hAnsiTheme="minorHAnsi"/>
        </w:rPr>
        <w:t>485,000</w:t>
      </w:r>
      <w:r w:rsidR="005941AD">
        <w:rPr>
          <w:rFonts w:asciiTheme="minorHAnsi" w:eastAsia="Times New Roman" w:hAnsiTheme="minorHAnsi"/>
        </w:rPr>
        <w:t xml:space="preserve"> </w:t>
      </w:r>
      <w:r w:rsidR="00D71128">
        <w:rPr>
          <w:rFonts w:asciiTheme="minorHAnsi" w:eastAsia="Times New Roman" w:hAnsiTheme="minorHAnsi"/>
        </w:rPr>
        <w:t>October 2024</w:t>
      </w:r>
      <w:r w:rsidR="005941AD">
        <w:rPr>
          <w:rFonts w:asciiTheme="minorHAnsi" w:eastAsia="Times New Roman" w:hAnsiTheme="minorHAnsi"/>
        </w:rPr>
        <w:t xml:space="preserve">) </w:t>
      </w:r>
      <w:hyperlink r:id="rId8" w:history="1">
        <w:r w:rsidR="005941AD" w:rsidRPr="005941AD">
          <w:rPr>
            <w:rFonts w:ascii="Arial" w:eastAsia="Times New Roman" w:hAnsi="Arial" w:cs="Arial"/>
            <w:color w:val="0563C1"/>
            <w:u w:val="single"/>
          </w:rPr>
          <w:t>https://maar.stats.10kresearch.com/docs/lmu/x/Minnetonka?src=map</w:t>
        </w:r>
      </w:hyperlink>
      <w:r w:rsidR="005941AD">
        <w:rPr>
          <w:rFonts w:ascii="Arial" w:eastAsia="Times New Roman" w:hAnsi="Arial" w:cs="Arial"/>
        </w:rPr>
        <w:t xml:space="preserve">. </w:t>
      </w:r>
    </w:p>
    <w:p w14:paraId="1ACD875F" w14:textId="46C83C78" w:rsidR="005941AD" w:rsidRDefault="005941AD" w:rsidP="00E1053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</w:rPr>
      </w:pPr>
    </w:p>
    <w:p w14:paraId="0AC4AC60" w14:textId="7CCFB6C6" w:rsidR="005941AD" w:rsidRPr="00D61086" w:rsidRDefault="005941AD" w:rsidP="005941AD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eastAsia="Times New Roman" w:cs="Calibri"/>
        </w:rPr>
      </w:pPr>
      <w:r w:rsidRPr="00D61086">
        <w:rPr>
          <w:rFonts w:eastAsia="Times New Roman" w:cs="Calibri"/>
        </w:rPr>
        <w:t xml:space="preserve">Households with incomes at or below 50% AMI: 25% of the purchase price, not to exceed </w:t>
      </w:r>
      <w:r w:rsidR="00D61086" w:rsidRPr="00D61086">
        <w:rPr>
          <w:rFonts w:eastAsia="Times New Roman" w:cs="Calibri"/>
        </w:rPr>
        <w:t>$75,000.</w:t>
      </w:r>
    </w:p>
    <w:p w14:paraId="0B0384EA" w14:textId="626424F6" w:rsidR="005941AD" w:rsidRPr="00D61086" w:rsidRDefault="005941AD" w:rsidP="005941AD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eastAsia="Times New Roman" w:cs="Calibri"/>
        </w:rPr>
      </w:pPr>
      <w:r w:rsidRPr="00D61086">
        <w:rPr>
          <w:rFonts w:eastAsia="Times New Roman" w:cs="Calibri"/>
        </w:rPr>
        <w:t xml:space="preserve">Households with incomes </w:t>
      </w:r>
      <w:r w:rsidR="00D61086" w:rsidRPr="00D61086">
        <w:rPr>
          <w:rFonts w:eastAsia="Times New Roman" w:cs="Calibri"/>
        </w:rPr>
        <w:t>between 51% and 60% AMI</w:t>
      </w:r>
      <w:r w:rsidRPr="00D61086">
        <w:rPr>
          <w:rFonts w:eastAsia="Times New Roman" w:cs="Calibri"/>
        </w:rPr>
        <w:t>: 2</w:t>
      </w:r>
      <w:r w:rsidR="00D61086" w:rsidRPr="00D61086">
        <w:rPr>
          <w:rFonts w:eastAsia="Times New Roman" w:cs="Calibri"/>
        </w:rPr>
        <w:t>0</w:t>
      </w:r>
      <w:r w:rsidRPr="00D61086">
        <w:rPr>
          <w:rFonts w:eastAsia="Times New Roman" w:cs="Calibri"/>
        </w:rPr>
        <w:t xml:space="preserve">% of the purchase price, not to exceed </w:t>
      </w:r>
      <w:r w:rsidR="00D61086" w:rsidRPr="00D61086">
        <w:rPr>
          <w:rFonts w:eastAsia="Times New Roman" w:cs="Calibri"/>
        </w:rPr>
        <w:t>$70,000.</w:t>
      </w:r>
    </w:p>
    <w:p w14:paraId="03E9A61C" w14:textId="7D14F3A6" w:rsidR="005941AD" w:rsidRPr="00D61086" w:rsidRDefault="005941AD" w:rsidP="005941AD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eastAsia="Times New Roman" w:cs="Calibri"/>
        </w:rPr>
      </w:pPr>
      <w:r w:rsidRPr="00D61086">
        <w:rPr>
          <w:rFonts w:eastAsia="Times New Roman" w:cs="Calibri"/>
        </w:rPr>
        <w:t xml:space="preserve">Households with incomes </w:t>
      </w:r>
      <w:r w:rsidR="00D61086" w:rsidRPr="00D61086">
        <w:rPr>
          <w:rFonts w:eastAsia="Times New Roman" w:cs="Calibri"/>
        </w:rPr>
        <w:t>between 61% and 80% AMI</w:t>
      </w:r>
      <w:r w:rsidRPr="00D61086">
        <w:rPr>
          <w:rFonts w:eastAsia="Times New Roman" w:cs="Calibri"/>
        </w:rPr>
        <w:t xml:space="preserve">: </w:t>
      </w:r>
      <w:r w:rsidR="00D61086" w:rsidRPr="00D61086">
        <w:rPr>
          <w:rFonts w:eastAsia="Times New Roman" w:cs="Calibri"/>
        </w:rPr>
        <w:t>1</w:t>
      </w:r>
      <w:r w:rsidRPr="00D61086">
        <w:rPr>
          <w:rFonts w:eastAsia="Times New Roman" w:cs="Calibri"/>
        </w:rPr>
        <w:t xml:space="preserve">5% of the purchase price, not to exceed </w:t>
      </w:r>
      <w:r w:rsidR="00D61086" w:rsidRPr="00D61086">
        <w:rPr>
          <w:rFonts w:eastAsia="Times New Roman" w:cs="Calibri"/>
        </w:rPr>
        <w:t>$63,000.</w:t>
      </w:r>
    </w:p>
    <w:p w14:paraId="4CCB705D" w14:textId="3544CFF6" w:rsidR="005941AD" w:rsidRPr="00D61086" w:rsidRDefault="005941AD" w:rsidP="005941AD">
      <w:pPr>
        <w:pStyle w:val="ListParagraph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eastAsia="Times New Roman" w:cs="Calibri"/>
        </w:rPr>
      </w:pPr>
      <w:r w:rsidRPr="00D61086">
        <w:rPr>
          <w:rFonts w:eastAsia="Times New Roman" w:cs="Calibri"/>
        </w:rPr>
        <w:t xml:space="preserve">Households with incomes </w:t>
      </w:r>
      <w:r w:rsidR="00D61086" w:rsidRPr="00D61086">
        <w:rPr>
          <w:rFonts w:eastAsia="Times New Roman" w:cs="Calibri"/>
        </w:rPr>
        <w:t>between 81% and 120% AMI</w:t>
      </w:r>
      <w:r w:rsidRPr="00D61086">
        <w:rPr>
          <w:rFonts w:eastAsia="Times New Roman" w:cs="Calibri"/>
        </w:rPr>
        <w:t xml:space="preserve">: </w:t>
      </w:r>
      <w:r w:rsidR="00D61086" w:rsidRPr="00D61086">
        <w:rPr>
          <w:rFonts w:eastAsia="Times New Roman" w:cs="Calibri"/>
        </w:rPr>
        <w:t>10</w:t>
      </w:r>
      <w:r w:rsidRPr="00D61086">
        <w:rPr>
          <w:rFonts w:eastAsia="Times New Roman" w:cs="Calibri"/>
        </w:rPr>
        <w:t xml:space="preserve">% of the purchase price, not to exceed </w:t>
      </w:r>
      <w:r w:rsidR="00D61086" w:rsidRPr="00D61086">
        <w:rPr>
          <w:rFonts w:eastAsia="Times New Roman" w:cs="Calibri"/>
        </w:rPr>
        <w:t>$50,000.</w:t>
      </w:r>
    </w:p>
    <w:p w14:paraId="3F577C7C" w14:textId="34D73ADF" w:rsidR="00D61086" w:rsidRPr="00D61086" w:rsidRDefault="00D61086" w:rsidP="00D61086">
      <w:pPr>
        <w:tabs>
          <w:tab w:val="left" w:pos="540"/>
        </w:tabs>
        <w:spacing w:after="0" w:line="240" w:lineRule="auto"/>
        <w:rPr>
          <w:rFonts w:eastAsia="Times New Roman" w:cs="Calibri"/>
        </w:rPr>
      </w:pPr>
    </w:p>
    <w:p w14:paraId="3FFA59C6" w14:textId="012023B1" w:rsidR="00D61086" w:rsidRPr="00D61086" w:rsidRDefault="00D61086" w:rsidP="00D61086">
      <w:pPr>
        <w:tabs>
          <w:tab w:val="left" w:pos="540"/>
        </w:tabs>
        <w:spacing w:after="0" w:line="240" w:lineRule="auto"/>
        <w:rPr>
          <w:rFonts w:eastAsia="Times New Roman" w:cs="Calibri"/>
        </w:rPr>
      </w:pPr>
      <w:r w:rsidRPr="00D61086">
        <w:rPr>
          <w:rFonts w:eastAsia="Times New Roman" w:cs="Calibri"/>
        </w:rPr>
        <w:t>This program may not be layered with the Downpayment Assistance Program for First Time Homebuyers from the City of Minnetonka.</w:t>
      </w:r>
    </w:p>
    <w:p w14:paraId="0456F9C6" w14:textId="09829B0E" w:rsidR="00E10533" w:rsidRPr="00D56976" w:rsidRDefault="005941AD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>
        <w:rPr>
          <w:rFonts w:ascii="Arial" w:eastAsia="Times New Roman" w:hAnsi="Arial" w:cs="Arial"/>
        </w:rPr>
        <w:t xml:space="preserve"> </w:t>
      </w:r>
    </w:p>
    <w:p w14:paraId="2594DF34" w14:textId="4773F088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Loan term:</w:t>
      </w:r>
      <w:r w:rsidRPr="00D56976">
        <w:rPr>
          <w:rFonts w:asciiTheme="minorHAnsi" w:eastAsia="Times New Roman" w:hAnsiTheme="minorHAnsi"/>
        </w:rPr>
        <w:t xml:space="preserve">  </w:t>
      </w:r>
      <w:r w:rsidR="00CA71A2">
        <w:rPr>
          <w:rFonts w:asciiTheme="minorHAnsi" w:eastAsia="Times New Roman" w:hAnsiTheme="minorHAnsi"/>
        </w:rPr>
        <w:t xml:space="preserve">The loan will be forgiven 5% annually and </w:t>
      </w:r>
      <w:r>
        <w:rPr>
          <w:rFonts w:asciiTheme="minorHAnsi" w:eastAsia="Times New Roman" w:hAnsiTheme="minorHAnsi"/>
        </w:rPr>
        <w:t>if the property has not been sold, transferred and has remained the primary residence of the borrower</w:t>
      </w:r>
      <w:r w:rsidR="00CA71A2">
        <w:rPr>
          <w:rFonts w:asciiTheme="minorHAnsi" w:eastAsia="Times New Roman" w:hAnsiTheme="minorHAnsi"/>
        </w:rPr>
        <w:t xml:space="preserve"> for 20 years the loan is 100% forgiven</w:t>
      </w:r>
      <w:r>
        <w:rPr>
          <w:rFonts w:asciiTheme="minorHAnsi" w:eastAsia="Times New Roman" w:hAnsiTheme="minorHAnsi"/>
        </w:rPr>
        <w:t>.</w:t>
      </w:r>
      <w:r w:rsidR="00CA71A2">
        <w:rPr>
          <w:rFonts w:asciiTheme="minorHAnsi" w:eastAsia="Times New Roman" w:hAnsiTheme="minorHAnsi"/>
        </w:rPr>
        <w:t xml:space="preserve">  If the borrower(s) cease to occupy and/or own the property as a primary residence during the </w:t>
      </w:r>
      <w:r w:rsidR="00D61086">
        <w:rPr>
          <w:rFonts w:asciiTheme="minorHAnsi" w:eastAsia="Times New Roman" w:hAnsiTheme="minorHAnsi"/>
        </w:rPr>
        <w:t>20-year</w:t>
      </w:r>
      <w:r w:rsidR="00CA71A2">
        <w:rPr>
          <w:rFonts w:asciiTheme="minorHAnsi" w:eastAsia="Times New Roman" w:hAnsiTheme="minorHAnsi"/>
        </w:rPr>
        <w:t xml:space="preserve"> term the balance owed at that time is due and payable.</w:t>
      </w:r>
    </w:p>
    <w:p w14:paraId="5B438543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  <w:u w:val="single"/>
        </w:rPr>
      </w:pPr>
    </w:p>
    <w:p w14:paraId="485C3E18" w14:textId="6D1F19EF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Eligible Properties</w:t>
      </w:r>
      <w:r w:rsidRPr="00D56976">
        <w:rPr>
          <w:rFonts w:asciiTheme="minorHAnsi" w:eastAsia="Times New Roman" w:hAnsiTheme="minorHAnsi"/>
        </w:rPr>
        <w:t>:  Single-family owner-occupied properties located within the geographical boundaries of the City of Minnetonka. Townhomes and Condominiums are eligible</w:t>
      </w:r>
      <w:r w:rsidRPr="00264134">
        <w:rPr>
          <w:rFonts w:asciiTheme="minorHAnsi" w:eastAsia="Times New Roman" w:hAnsiTheme="minorHAnsi" w:cstheme="minorHAnsi"/>
        </w:rPr>
        <w:t xml:space="preserve">. </w:t>
      </w:r>
      <w:r w:rsidRPr="006B63F6">
        <w:rPr>
          <w:rFonts w:asciiTheme="minorHAnsi" w:eastAsia="Times New Roman" w:hAnsiTheme="minorHAnsi" w:cstheme="minorHAnsi"/>
        </w:rPr>
        <w:t xml:space="preserve"> </w:t>
      </w:r>
      <w:r w:rsidRPr="00D56976">
        <w:rPr>
          <w:rFonts w:asciiTheme="minorHAnsi" w:eastAsia="Times New Roman" w:hAnsiTheme="minorHAnsi"/>
        </w:rPr>
        <w:t xml:space="preserve"> </w:t>
      </w:r>
      <w:r w:rsidR="00CA71A2">
        <w:rPr>
          <w:rFonts w:asciiTheme="minorHAnsi" w:eastAsia="Times New Roman" w:hAnsiTheme="minorHAnsi"/>
        </w:rPr>
        <w:t>Must be at or below the 12-month rolling median home sale price in Minnetonka, as published in the Minneapolis Area Realtors Annual Housing Market Report, $460,000 (</w:t>
      </w:r>
      <w:r w:rsidR="005941AD">
        <w:rPr>
          <w:rFonts w:asciiTheme="minorHAnsi" w:eastAsia="Times New Roman" w:hAnsiTheme="minorHAnsi"/>
        </w:rPr>
        <w:t xml:space="preserve">April </w:t>
      </w:r>
      <w:r w:rsidR="00CA71A2">
        <w:rPr>
          <w:rFonts w:asciiTheme="minorHAnsi" w:eastAsia="Times New Roman" w:hAnsiTheme="minorHAnsi"/>
        </w:rPr>
        <w:t>2023)</w:t>
      </w:r>
      <w:r w:rsidR="005941AD">
        <w:rPr>
          <w:rFonts w:asciiTheme="minorHAnsi" w:eastAsia="Times New Roman" w:hAnsiTheme="minorHAnsi"/>
        </w:rPr>
        <w:t xml:space="preserve"> </w:t>
      </w:r>
      <w:hyperlink r:id="rId9" w:history="1">
        <w:r w:rsidR="005941AD" w:rsidRPr="005941AD">
          <w:rPr>
            <w:rFonts w:ascii="Arial" w:eastAsia="Times New Roman" w:hAnsi="Arial" w:cs="Arial"/>
            <w:color w:val="0563C1"/>
            <w:u w:val="single"/>
          </w:rPr>
          <w:t>https://maar.stats.10kresearch.com/docs/lmu/x/Minnetonka?src=map</w:t>
        </w:r>
      </w:hyperlink>
      <w:r w:rsidR="005941AD">
        <w:rPr>
          <w:rFonts w:asciiTheme="minorHAnsi" w:eastAsia="Times New Roman" w:hAnsiTheme="minorHAnsi"/>
        </w:rPr>
        <w:t xml:space="preserve"> </w:t>
      </w:r>
      <w:r w:rsidR="00CA71A2">
        <w:rPr>
          <w:rFonts w:asciiTheme="minorHAnsi" w:eastAsia="Times New Roman" w:hAnsiTheme="minorHAnsi"/>
        </w:rPr>
        <w:t xml:space="preserve">.  </w:t>
      </w:r>
      <w:r w:rsidRPr="00D56976">
        <w:rPr>
          <w:rFonts w:asciiTheme="minorHAnsi" w:eastAsia="Times New Roman" w:hAnsiTheme="minorHAnsi"/>
        </w:rPr>
        <w:t xml:space="preserve">The property must be homesteaded </w:t>
      </w:r>
      <w:r w:rsidR="00CA71A2">
        <w:rPr>
          <w:rFonts w:asciiTheme="minorHAnsi" w:eastAsia="Times New Roman" w:hAnsiTheme="minorHAnsi"/>
        </w:rPr>
        <w:t>within 60 days following the purchase.</w:t>
      </w:r>
      <w:r w:rsidRPr="00D56976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Properties within the West Hennepin Affordable Land Trust.</w:t>
      </w:r>
      <w:r w:rsidR="00D61086">
        <w:rPr>
          <w:rFonts w:asciiTheme="minorHAnsi" w:eastAsia="Times New Roman" w:hAnsiTheme="minorHAnsi"/>
        </w:rPr>
        <w:t xml:space="preserve"> </w:t>
      </w:r>
    </w:p>
    <w:p w14:paraId="15C707FF" w14:textId="77777777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</w:p>
    <w:p w14:paraId="0F8A7CFC" w14:textId="064AE996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Ineligible Properties:</w:t>
      </w:r>
      <w:r w:rsidRPr="00D56976">
        <w:rPr>
          <w:rFonts w:asciiTheme="minorHAnsi" w:eastAsia="Times New Roman" w:hAnsiTheme="minorHAnsi"/>
        </w:rPr>
        <w:t xml:space="preserve">  Dwellings with more than one unit, cooperatives, manufactured homes, time shares</w:t>
      </w:r>
      <w:r>
        <w:rPr>
          <w:rFonts w:asciiTheme="minorHAnsi" w:eastAsia="Times New Roman" w:hAnsiTheme="minorHAnsi"/>
        </w:rPr>
        <w:t>.  Properties held within a trust</w:t>
      </w:r>
      <w:r w:rsidR="00CA71A2">
        <w:rPr>
          <w:rFonts w:asciiTheme="minorHAnsi" w:eastAsia="Times New Roman" w:hAnsiTheme="minorHAnsi"/>
        </w:rPr>
        <w:t>, excluding the West Hennepin Affordable Land Trust</w:t>
      </w:r>
      <w:r>
        <w:rPr>
          <w:rFonts w:asciiTheme="minorHAnsi" w:eastAsia="Times New Roman" w:hAnsiTheme="minorHAnsi"/>
        </w:rPr>
        <w:t>.</w:t>
      </w:r>
    </w:p>
    <w:p w14:paraId="4EE97DA1" w14:textId="77777777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</w:p>
    <w:p w14:paraId="6E855829" w14:textId="600B245F" w:rsidR="00E10533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Eligible Borrowers</w:t>
      </w:r>
      <w:r w:rsidRPr="00D56976">
        <w:rPr>
          <w:rFonts w:asciiTheme="minorHAnsi" w:eastAsia="Times New Roman" w:hAnsiTheme="minorHAnsi"/>
        </w:rPr>
        <w:t xml:space="preserve">:    </w:t>
      </w:r>
      <w:r>
        <w:rPr>
          <w:rFonts w:asciiTheme="minorHAnsi" w:eastAsia="Times New Roman" w:hAnsiTheme="minorHAnsi"/>
        </w:rPr>
        <w:t xml:space="preserve">The homebuyer(s) cannot have owned a home within the past seven (7) years.  Must occupy the property as their primary residence.  </w:t>
      </w:r>
      <w:r w:rsidRPr="00D56976">
        <w:rPr>
          <w:rFonts w:asciiTheme="minorHAnsi" w:eastAsia="Times New Roman" w:hAnsiTheme="minorHAnsi"/>
        </w:rPr>
        <w:t xml:space="preserve">The homebuyer(s) </w:t>
      </w:r>
      <w:r w:rsidRPr="00D56976">
        <w:rPr>
          <w:rFonts w:asciiTheme="minorHAnsi" w:eastAsia="Times New Roman" w:hAnsiTheme="minorHAnsi"/>
          <w:b/>
        </w:rPr>
        <w:t>MUST</w:t>
      </w:r>
      <w:r w:rsidRPr="00D56976">
        <w:rPr>
          <w:rFonts w:asciiTheme="minorHAnsi" w:eastAsia="Times New Roman" w:hAnsiTheme="minorHAnsi"/>
        </w:rPr>
        <w:t xml:space="preserve"> attend a Home Stretch workshop</w:t>
      </w:r>
      <w:r w:rsidR="00D61086">
        <w:rPr>
          <w:rFonts w:asciiTheme="minorHAnsi" w:eastAsia="Times New Roman" w:hAnsiTheme="minorHAnsi"/>
        </w:rPr>
        <w:t xml:space="preserve"> through Minnesota Homeownership Center, Framework, Minneapolis Urban League American Dream Program</w:t>
      </w:r>
      <w:r w:rsidRPr="00D56976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or any other HUD </w:t>
      </w:r>
      <w:r w:rsidR="00D61086">
        <w:rPr>
          <w:rFonts w:asciiTheme="minorHAnsi" w:eastAsia="Times New Roman" w:hAnsiTheme="minorHAnsi"/>
        </w:rPr>
        <w:t xml:space="preserve">or City </w:t>
      </w:r>
      <w:r>
        <w:rPr>
          <w:rFonts w:asciiTheme="minorHAnsi" w:eastAsia="Times New Roman" w:hAnsiTheme="minorHAnsi"/>
        </w:rPr>
        <w:t xml:space="preserve">approved program </w:t>
      </w:r>
      <w:r w:rsidRPr="00D56976">
        <w:rPr>
          <w:rFonts w:asciiTheme="minorHAnsi" w:eastAsia="Times New Roman" w:hAnsiTheme="minorHAnsi"/>
        </w:rPr>
        <w:t xml:space="preserve">and provide evidence prior to </w:t>
      </w:r>
      <w:r w:rsidRPr="00D56976">
        <w:rPr>
          <w:rFonts w:asciiTheme="minorHAnsi" w:eastAsia="Times New Roman" w:hAnsiTheme="minorHAnsi"/>
        </w:rPr>
        <w:lastRenderedPageBreak/>
        <w:t xml:space="preserve">closing.   All borrowers must be legal residents of the United States. </w:t>
      </w:r>
      <w:r w:rsidR="00D61086">
        <w:rPr>
          <w:rFonts w:asciiTheme="minorHAnsi" w:eastAsia="Times New Roman" w:hAnsiTheme="minorHAnsi"/>
        </w:rPr>
        <w:t xml:space="preserve">  </w:t>
      </w:r>
      <w:proofErr w:type="gramStart"/>
      <w:r w:rsidR="00D61086">
        <w:rPr>
          <w:rFonts w:asciiTheme="minorHAnsi" w:eastAsia="Times New Roman" w:hAnsiTheme="minorHAnsi"/>
        </w:rPr>
        <w:t>Borrower</w:t>
      </w:r>
      <w:proofErr w:type="gramEnd"/>
      <w:r w:rsidR="00D61086">
        <w:rPr>
          <w:rFonts w:asciiTheme="minorHAnsi" w:eastAsia="Times New Roman" w:hAnsiTheme="minorHAnsi"/>
        </w:rPr>
        <w:t xml:space="preserve"> must show approval for the purchase of the home.  The First Mortgage must be at a fixed interest rate.</w:t>
      </w:r>
    </w:p>
    <w:p w14:paraId="0C941276" w14:textId="77777777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</w:p>
    <w:p w14:paraId="2794EC32" w14:textId="5BEFA72B" w:rsidR="00E10533" w:rsidRPr="00E95742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E95742">
        <w:rPr>
          <w:rFonts w:asciiTheme="minorHAnsi" w:eastAsia="Times New Roman" w:hAnsiTheme="minorHAnsi"/>
          <w:b/>
          <w:u w:val="single"/>
        </w:rPr>
        <w:t>Ineligible Borrowers:</w:t>
      </w:r>
      <w:r w:rsidRPr="00E95742">
        <w:rPr>
          <w:rFonts w:asciiTheme="minorHAnsi" w:eastAsia="Times New Roman" w:hAnsiTheme="minorHAnsi"/>
        </w:rPr>
        <w:t xml:space="preserve">  Including but not limited to: - Foreign Nationals, </w:t>
      </w:r>
      <w:r>
        <w:rPr>
          <w:rFonts w:asciiTheme="minorHAnsi" w:eastAsia="Times New Roman" w:hAnsiTheme="minorHAnsi"/>
        </w:rPr>
        <w:t xml:space="preserve">and </w:t>
      </w:r>
      <w:r w:rsidRPr="00E95742">
        <w:rPr>
          <w:rFonts w:asciiTheme="minorHAnsi" w:eastAsia="Times New Roman" w:hAnsiTheme="minorHAnsi"/>
        </w:rPr>
        <w:t>Non-Occupant Co-Borrowers</w:t>
      </w:r>
      <w:r>
        <w:rPr>
          <w:rFonts w:asciiTheme="minorHAnsi" w:eastAsia="Times New Roman" w:hAnsiTheme="minorHAnsi"/>
        </w:rPr>
        <w:t>, illegal residents.</w:t>
      </w:r>
      <w:r w:rsidRPr="00E95742">
        <w:rPr>
          <w:rFonts w:asciiTheme="minorHAnsi" w:eastAsia="Times New Roman" w:hAnsiTheme="minorHAnsi"/>
        </w:rPr>
        <w:t xml:space="preserve"> </w:t>
      </w:r>
    </w:p>
    <w:p w14:paraId="1735FDE7" w14:textId="77777777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</w:p>
    <w:p w14:paraId="0D5A4231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Ownership/Occupancy:</w:t>
      </w:r>
      <w:r w:rsidRPr="00D56976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 Must occupy the home as the primary residence.</w:t>
      </w:r>
    </w:p>
    <w:p w14:paraId="5AA9F8E9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</w:p>
    <w:p w14:paraId="45BEFBCE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Loan to Value Ratio</w:t>
      </w:r>
      <w:r w:rsidRPr="00D56976">
        <w:rPr>
          <w:rFonts w:asciiTheme="minorHAnsi" w:eastAsia="Times New Roman" w:hAnsiTheme="minorHAnsi"/>
        </w:rPr>
        <w:t xml:space="preserve"> N</w:t>
      </w:r>
      <w:r>
        <w:rPr>
          <w:rFonts w:asciiTheme="minorHAnsi" w:eastAsia="Times New Roman" w:hAnsiTheme="minorHAnsi"/>
        </w:rPr>
        <w:t>/</w:t>
      </w:r>
      <w:r w:rsidRPr="00D56976">
        <w:rPr>
          <w:rFonts w:asciiTheme="minorHAnsi" w:eastAsia="Times New Roman" w:hAnsiTheme="minorHAnsi"/>
        </w:rPr>
        <w:t>A</w:t>
      </w:r>
    </w:p>
    <w:p w14:paraId="4ACEDCA9" w14:textId="77777777" w:rsidR="00E10533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  <w:u w:val="single"/>
        </w:rPr>
      </w:pPr>
    </w:p>
    <w:p w14:paraId="7CF41C87" w14:textId="6F5D2D9B" w:rsidR="00E10533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  <w:b/>
          <w:u w:val="single"/>
        </w:rPr>
        <w:t>Income Limit</w:t>
      </w:r>
      <w:r w:rsidRPr="00D56976">
        <w:rPr>
          <w:rFonts w:asciiTheme="minorHAnsi" w:eastAsia="Times New Roman" w:hAnsiTheme="minorHAnsi"/>
          <w:b/>
        </w:rPr>
        <w:t>:</w:t>
      </w:r>
      <w:r w:rsidRPr="00D56976">
        <w:rPr>
          <w:rFonts w:asciiTheme="minorHAnsi" w:eastAsia="Times New Roman" w:hAnsiTheme="minorHAnsi"/>
        </w:rPr>
        <w:t xml:space="preserve">   The total gross annual household income cannot exceed 120% of the area median income based on </w:t>
      </w:r>
      <w:r w:rsidR="00B931C9">
        <w:rPr>
          <w:rFonts w:asciiTheme="minorHAnsi" w:eastAsia="Times New Roman" w:hAnsiTheme="minorHAnsi"/>
        </w:rPr>
        <w:t>a family size of four for households of 1-4</w:t>
      </w:r>
      <w:r w:rsidRPr="00D56976">
        <w:rPr>
          <w:rFonts w:asciiTheme="minorHAnsi" w:eastAsia="Times New Roman" w:hAnsiTheme="minorHAnsi"/>
        </w:rPr>
        <w:t xml:space="preserve">.  </w:t>
      </w:r>
      <w:r w:rsidR="00B931C9">
        <w:rPr>
          <w:rFonts w:asciiTheme="minorHAnsi" w:eastAsia="Times New Roman" w:hAnsiTheme="minorHAnsi"/>
        </w:rPr>
        <w:t xml:space="preserve">Income limits will be increased based on family size for </w:t>
      </w:r>
      <w:proofErr w:type="gramStart"/>
      <w:r w:rsidR="00B931C9">
        <w:rPr>
          <w:rFonts w:asciiTheme="minorHAnsi" w:eastAsia="Times New Roman" w:hAnsiTheme="minorHAnsi"/>
        </w:rPr>
        <w:t>families</w:t>
      </w:r>
      <w:proofErr w:type="gramEnd"/>
      <w:r w:rsidR="00B931C9">
        <w:rPr>
          <w:rFonts w:asciiTheme="minorHAnsi" w:eastAsia="Times New Roman" w:hAnsiTheme="minorHAnsi"/>
        </w:rPr>
        <w:t xml:space="preserve"> more than 4.  </w:t>
      </w:r>
      <w:r w:rsidRPr="00D56976">
        <w:rPr>
          <w:rFonts w:asciiTheme="minorHAnsi" w:eastAsia="Times New Roman" w:hAnsiTheme="minorHAnsi"/>
        </w:rPr>
        <w:t>The income limits shall be determined by the U.S. Department of Housing and Urban Development (HUD</w:t>
      </w:r>
      <w:r w:rsidR="00D61086" w:rsidRPr="00D56976">
        <w:rPr>
          <w:rFonts w:asciiTheme="minorHAnsi" w:eastAsia="Times New Roman" w:hAnsiTheme="minorHAnsi"/>
        </w:rPr>
        <w:t>) and</w:t>
      </w:r>
      <w:r w:rsidRPr="00D56976">
        <w:rPr>
          <w:rFonts w:asciiTheme="minorHAnsi" w:eastAsia="Times New Roman" w:hAnsiTheme="minorHAnsi"/>
        </w:rPr>
        <w:t xml:space="preserve"> is adjusted annually.  Income shall be the projected gross income for the upcoming 12 months or the average of the prior two </w:t>
      </w:r>
      <w:proofErr w:type="gramStart"/>
      <w:r w:rsidRPr="00D56976">
        <w:rPr>
          <w:rFonts w:asciiTheme="minorHAnsi" w:eastAsia="Times New Roman" w:hAnsiTheme="minorHAnsi"/>
        </w:rPr>
        <w:t>years</w:t>
      </w:r>
      <w:proofErr w:type="gramEnd"/>
      <w:r w:rsidRPr="00D56976">
        <w:rPr>
          <w:rFonts w:asciiTheme="minorHAnsi" w:eastAsia="Times New Roman" w:hAnsiTheme="minorHAnsi"/>
        </w:rPr>
        <w:t xml:space="preserve"> tax returns if self-employed</w:t>
      </w:r>
      <w:r>
        <w:rPr>
          <w:rFonts w:asciiTheme="minorHAnsi" w:eastAsia="Times New Roman" w:hAnsiTheme="minorHAnsi"/>
          <w:b/>
        </w:rPr>
        <w:t>.</w:t>
      </w:r>
    </w:p>
    <w:p w14:paraId="64AB84D3" w14:textId="7C0104AB" w:rsidR="00B931C9" w:rsidRDefault="00B931C9" w:rsidP="00E10533">
      <w:pPr>
        <w:spacing w:before="20" w:after="0" w:line="240" w:lineRule="auto"/>
        <w:rPr>
          <w:rFonts w:asciiTheme="minorHAnsi" w:eastAsia="Times New Roman" w:hAnsiTheme="minorHAnsi"/>
          <w:b/>
        </w:rPr>
      </w:pPr>
    </w:p>
    <w:p w14:paraId="4E1D0F61" w14:textId="6D86DAAC" w:rsidR="00B931C9" w:rsidRDefault="00B931C9" w:rsidP="00E10533">
      <w:pPr>
        <w:spacing w:before="20" w:after="0" w:line="240" w:lineRule="auto"/>
        <w:rPr>
          <w:rFonts w:asciiTheme="minorHAnsi" w:eastAsia="Times New Roman" w:hAnsiTheme="minorHAnsi"/>
          <w:b/>
        </w:rPr>
      </w:pPr>
      <w:r w:rsidRPr="000071ED">
        <w:rPr>
          <w:rFonts w:asciiTheme="minorHAnsi" w:eastAsia="Times New Roman" w:hAnsiTheme="minorHAnsi"/>
          <w:bCs/>
        </w:rPr>
        <w:t xml:space="preserve">The income must be included for anyone listed on the deed, legal spouse of the borrower who will also reside in the property.  Multi-generational buyers are </w:t>
      </w:r>
      <w:r w:rsidR="000071ED" w:rsidRPr="000071ED">
        <w:rPr>
          <w:rFonts w:asciiTheme="minorHAnsi" w:eastAsia="Times New Roman" w:hAnsiTheme="minorHAnsi"/>
          <w:bCs/>
        </w:rPr>
        <w:t>allowed,</w:t>
      </w:r>
      <w:r w:rsidRPr="000071ED">
        <w:rPr>
          <w:rFonts w:asciiTheme="minorHAnsi" w:eastAsia="Times New Roman" w:hAnsiTheme="minorHAnsi"/>
          <w:bCs/>
        </w:rPr>
        <w:t xml:space="preserve"> and their income must also be included</w:t>
      </w:r>
      <w:r>
        <w:rPr>
          <w:rFonts w:asciiTheme="minorHAnsi" w:eastAsia="Times New Roman" w:hAnsiTheme="minorHAnsi"/>
          <w:b/>
        </w:rPr>
        <w:t>.</w:t>
      </w:r>
    </w:p>
    <w:p w14:paraId="3BF75EC7" w14:textId="77777777" w:rsidR="00E10533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</w:rPr>
      </w:pPr>
    </w:p>
    <w:p w14:paraId="1BFBDC53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  <w:b/>
        </w:rPr>
        <w:t>Documentation Requirements:</w:t>
      </w:r>
    </w:p>
    <w:p w14:paraId="28402270" w14:textId="77777777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</w:rPr>
        <w:t>Copy of purchase agreement</w:t>
      </w:r>
    </w:p>
    <w:p w14:paraId="3F75E4B3" w14:textId="77777777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</w:rPr>
        <w:t>Commitment letter/approval for first mortgage</w:t>
      </w:r>
    </w:p>
    <w:p w14:paraId="28D381D8" w14:textId="77777777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</w:rPr>
        <w:t>Copy of Title Commitment</w:t>
      </w:r>
    </w:p>
    <w:p w14:paraId="5528F4A3" w14:textId="77777777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  <w:b/>
        </w:rPr>
      </w:pPr>
      <w:r w:rsidRPr="00D56976">
        <w:rPr>
          <w:rFonts w:asciiTheme="minorHAnsi" w:eastAsia="Times New Roman" w:hAnsiTheme="minorHAnsi"/>
        </w:rPr>
        <w:t>Copy of Initial Loan Estimate</w:t>
      </w:r>
      <w:r w:rsidRPr="00D56976">
        <w:rPr>
          <w:rFonts w:asciiTheme="minorHAnsi" w:eastAsia="Times New Roman" w:hAnsiTheme="minorHAnsi"/>
          <w:b/>
        </w:rPr>
        <w:t xml:space="preserve"> </w:t>
      </w:r>
      <w:r w:rsidRPr="00D56976">
        <w:rPr>
          <w:rFonts w:asciiTheme="minorHAnsi" w:eastAsia="Times New Roman" w:hAnsiTheme="minorHAnsi"/>
        </w:rPr>
        <w:t>for first mortgage</w:t>
      </w:r>
    </w:p>
    <w:p w14:paraId="1F3E01C2" w14:textId="77777777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</w:rPr>
        <w:t>Value of home (property tax or appraisal)</w:t>
      </w:r>
    </w:p>
    <w:p w14:paraId="28D64293" w14:textId="793A8BC6" w:rsidR="00E10533" w:rsidRPr="00D56976" w:rsidRDefault="00E10533" w:rsidP="00E10533">
      <w:pPr>
        <w:pStyle w:val="ListParagraph"/>
        <w:numPr>
          <w:ilvl w:val="0"/>
          <w:numId w:val="19"/>
        </w:num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</w:rPr>
        <w:t xml:space="preserve">Certification of Home Stretch Homebuyers course </w:t>
      </w:r>
      <w:r w:rsidR="00D61086" w:rsidRPr="00D56976">
        <w:rPr>
          <w:rFonts w:asciiTheme="minorHAnsi" w:eastAsia="Times New Roman" w:hAnsiTheme="minorHAnsi"/>
        </w:rPr>
        <w:t>completed.</w:t>
      </w:r>
    </w:p>
    <w:p w14:paraId="3EC4C5BD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</w:p>
    <w:p w14:paraId="1DE2B050" w14:textId="1DEFFB92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Asset Limit:</w:t>
      </w:r>
      <w:r w:rsidRPr="00D56976">
        <w:rPr>
          <w:rFonts w:asciiTheme="minorHAnsi" w:eastAsia="Times New Roman" w:hAnsiTheme="minorHAnsi"/>
        </w:rPr>
        <w:t xml:space="preserve">  </w:t>
      </w:r>
      <w:r>
        <w:rPr>
          <w:rFonts w:asciiTheme="minorHAnsi" w:eastAsia="Times New Roman" w:hAnsiTheme="minorHAnsi"/>
        </w:rPr>
        <w:t>Maximum liquid assets of $25,000 following closing on the home, excluding retirement assets up to $200,000 or noncash assets (i.e</w:t>
      </w:r>
      <w:r w:rsidRPr="00D56976">
        <w:rPr>
          <w:rFonts w:asciiTheme="minorHAnsi" w:eastAsia="Times New Roman" w:hAnsiTheme="minorHAnsi"/>
        </w:rPr>
        <w:t xml:space="preserve">.  </w:t>
      </w:r>
      <w:r>
        <w:rPr>
          <w:rFonts w:asciiTheme="minorHAnsi" w:eastAsia="Times New Roman" w:hAnsiTheme="minorHAnsi"/>
        </w:rPr>
        <w:t xml:space="preserve">cars, jewelry, vehicles, etc.).  Assets will generally be defined as: cash on hand, checking and savings.  </w:t>
      </w:r>
      <w:proofErr w:type="gramStart"/>
      <w:r w:rsidRPr="00D56976">
        <w:rPr>
          <w:rFonts w:asciiTheme="minorHAnsi" w:eastAsia="Times New Roman" w:hAnsiTheme="minorHAnsi"/>
        </w:rPr>
        <w:t>Borrower</w:t>
      </w:r>
      <w:proofErr w:type="gramEnd"/>
      <w:r w:rsidRPr="00D56976">
        <w:rPr>
          <w:rFonts w:asciiTheme="minorHAnsi" w:eastAsia="Times New Roman" w:hAnsiTheme="minorHAnsi"/>
        </w:rPr>
        <w:t xml:space="preserve"> will be required to fill out a Declaration of Assets form and provide recent bank statements.</w:t>
      </w:r>
    </w:p>
    <w:p w14:paraId="1C92BFF0" w14:textId="77777777" w:rsidR="00E10533" w:rsidRPr="00D56976" w:rsidRDefault="00E10533" w:rsidP="00E10533">
      <w:pPr>
        <w:spacing w:before="20" w:after="0" w:line="240" w:lineRule="auto"/>
        <w:rPr>
          <w:rFonts w:asciiTheme="minorHAnsi" w:eastAsia="Times New Roman" w:hAnsiTheme="minorHAnsi"/>
        </w:rPr>
      </w:pPr>
    </w:p>
    <w:p w14:paraId="44DA099E" w14:textId="59080521" w:rsidR="00E10533" w:rsidRPr="00E95742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Credit Requirements:</w:t>
      </w:r>
      <w:r w:rsidRPr="00D56976">
        <w:rPr>
          <w:rFonts w:asciiTheme="minorHAnsi" w:eastAsia="Times New Roman" w:hAnsiTheme="minorHAnsi"/>
        </w:rPr>
        <w:t xml:space="preserve">  </w:t>
      </w:r>
      <w:r>
        <w:rPr>
          <w:rFonts w:asciiTheme="minorHAnsi" w:eastAsia="Times New Roman" w:hAnsiTheme="minorHAnsi"/>
        </w:rPr>
        <w:t xml:space="preserve">All borrowers must have at least a 620-credit score.  NO outstanding </w:t>
      </w:r>
      <w:proofErr w:type="gramStart"/>
      <w:r>
        <w:rPr>
          <w:rFonts w:asciiTheme="minorHAnsi" w:eastAsia="Times New Roman" w:hAnsiTheme="minorHAnsi"/>
        </w:rPr>
        <w:t>liens</w:t>
      </w:r>
      <w:proofErr w:type="gramEnd"/>
      <w:r>
        <w:rPr>
          <w:rFonts w:asciiTheme="minorHAnsi" w:eastAsia="Times New Roman" w:hAnsiTheme="minorHAnsi"/>
        </w:rPr>
        <w:t xml:space="preserve"> or judgements.  </w:t>
      </w:r>
      <w:r w:rsidRPr="00D56976">
        <w:rPr>
          <w:rFonts w:asciiTheme="minorHAnsi" w:eastAsia="Times New Roman" w:hAnsiTheme="minorHAnsi"/>
        </w:rPr>
        <w:t>Borrower</w:t>
      </w:r>
      <w:r w:rsidR="005941AD">
        <w:rPr>
          <w:rFonts w:asciiTheme="minorHAnsi" w:eastAsia="Times New Roman" w:hAnsiTheme="minorHAnsi"/>
        </w:rPr>
        <w:t>(s)</w:t>
      </w:r>
      <w:r w:rsidRPr="00D56976">
        <w:rPr>
          <w:rFonts w:asciiTheme="minorHAnsi" w:eastAsia="Times New Roman" w:hAnsiTheme="minorHAnsi"/>
        </w:rPr>
        <w:t xml:space="preserve"> need to show mortgage approval for the purchase of the home.</w:t>
      </w:r>
    </w:p>
    <w:p w14:paraId="7BAFCB69" w14:textId="77777777" w:rsidR="00E10533" w:rsidRPr="00D56976" w:rsidRDefault="00E10533" w:rsidP="00E10533">
      <w:pPr>
        <w:tabs>
          <w:tab w:val="left" w:pos="540"/>
        </w:tabs>
        <w:spacing w:after="0" w:line="240" w:lineRule="auto"/>
        <w:rPr>
          <w:rFonts w:asciiTheme="minorHAnsi" w:eastAsia="Times New Roman" w:hAnsiTheme="minorHAnsi"/>
        </w:rPr>
      </w:pPr>
    </w:p>
    <w:p w14:paraId="221B7342" w14:textId="22D10FAC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Loan Security:</w:t>
      </w:r>
      <w:r w:rsidRPr="00D56976">
        <w:rPr>
          <w:rFonts w:asciiTheme="minorHAnsi" w:eastAsia="Times New Roman" w:hAnsiTheme="minorHAnsi"/>
        </w:rPr>
        <w:t xml:space="preserve">  All loans will be secured with a mortgage in favor of the Minnetonka Economic Development Authority.  Borrower will pay all applicable title and filing fees.</w:t>
      </w:r>
    </w:p>
    <w:p w14:paraId="1221650D" w14:textId="77777777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</w:p>
    <w:p w14:paraId="262E4E6F" w14:textId="77777777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Borrower Fees</w:t>
      </w:r>
      <w:r w:rsidRPr="00D56976">
        <w:rPr>
          <w:rFonts w:asciiTheme="minorHAnsi" w:eastAsia="Times New Roman" w:hAnsiTheme="minorHAnsi"/>
        </w:rPr>
        <w:t>:  Borrower will be responsible for mortgage filing and service fees, flood certificate</w:t>
      </w:r>
      <w:r>
        <w:rPr>
          <w:rFonts w:asciiTheme="minorHAnsi" w:eastAsia="Times New Roman" w:hAnsiTheme="minorHAnsi"/>
        </w:rPr>
        <w:t xml:space="preserve">, </w:t>
      </w:r>
      <w:r w:rsidRPr="00D56976">
        <w:rPr>
          <w:rFonts w:asciiTheme="minorHAnsi" w:eastAsia="Times New Roman" w:hAnsiTheme="minorHAnsi"/>
        </w:rPr>
        <w:t>credit report fees</w:t>
      </w:r>
      <w:r>
        <w:rPr>
          <w:rFonts w:asciiTheme="minorHAnsi" w:eastAsia="Times New Roman" w:hAnsiTheme="minorHAnsi"/>
        </w:rPr>
        <w:t xml:space="preserve"> and any other applicable closing fees</w:t>
      </w:r>
      <w:r w:rsidRPr="00D56976">
        <w:rPr>
          <w:rFonts w:asciiTheme="minorHAnsi" w:eastAsia="Times New Roman" w:hAnsiTheme="minorHAnsi"/>
        </w:rPr>
        <w:t>.</w:t>
      </w:r>
    </w:p>
    <w:p w14:paraId="5983C054" w14:textId="77777777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</w:p>
    <w:p w14:paraId="2E7645B6" w14:textId="77777777" w:rsidR="00E10533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  <w:r w:rsidRPr="00D56976">
        <w:rPr>
          <w:rFonts w:asciiTheme="minorHAnsi" w:eastAsia="Times New Roman" w:hAnsiTheme="minorHAnsi"/>
          <w:b/>
          <w:u w:val="single"/>
        </w:rPr>
        <w:t>Underwriting Decision:</w:t>
      </w:r>
      <w:r w:rsidRPr="00D56976">
        <w:rPr>
          <w:rFonts w:asciiTheme="minorHAnsi" w:eastAsia="Times New Roman" w:hAnsiTheme="minorHAnsi"/>
        </w:rPr>
        <w:t xml:space="preserve">   Applicants must have </w:t>
      </w:r>
      <w:proofErr w:type="gramStart"/>
      <w:r w:rsidRPr="00D56976">
        <w:rPr>
          <w:rFonts w:asciiTheme="minorHAnsi" w:eastAsia="Times New Roman" w:hAnsiTheme="minorHAnsi"/>
        </w:rPr>
        <w:t>acceptable</w:t>
      </w:r>
      <w:proofErr w:type="gramEnd"/>
      <w:r w:rsidRPr="00D56976">
        <w:rPr>
          <w:rFonts w:asciiTheme="minorHAnsi" w:eastAsia="Times New Roman" w:hAnsiTheme="minorHAnsi"/>
        </w:rPr>
        <w:t xml:space="preserve"> credit history.  CEE will approve or deny loans based on a credit report, income verification and other criteria as deemed necessary through CEE’s underwriting guidelines.  </w:t>
      </w:r>
      <w:proofErr w:type="gramStart"/>
      <w:r w:rsidRPr="00D56976">
        <w:rPr>
          <w:rFonts w:asciiTheme="minorHAnsi" w:eastAsia="Times New Roman" w:hAnsiTheme="minorHAnsi"/>
        </w:rPr>
        <w:t>CEE’s</w:t>
      </w:r>
      <w:proofErr w:type="gramEnd"/>
      <w:r w:rsidRPr="00D56976">
        <w:rPr>
          <w:rFonts w:asciiTheme="minorHAnsi" w:eastAsia="Times New Roman" w:hAnsiTheme="minorHAnsi"/>
        </w:rPr>
        <w:t xml:space="preserve"> decision shall be final.  Appeals can be made to the </w:t>
      </w:r>
      <w:r>
        <w:rPr>
          <w:rFonts w:asciiTheme="minorHAnsi" w:eastAsia="Times New Roman" w:hAnsiTheme="minorHAnsi"/>
        </w:rPr>
        <w:t>Authority</w:t>
      </w:r>
      <w:r w:rsidRPr="00D56976">
        <w:rPr>
          <w:rFonts w:asciiTheme="minorHAnsi" w:eastAsia="Times New Roman" w:hAnsiTheme="minorHAnsi"/>
        </w:rPr>
        <w:t>.</w:t>
      </w:r>
    </w:p>
    <w:p w14:paraId="0A5D1FE0" w14:textId="77777777" w:rsidR="00E10533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</w:p>
    <w:p w14:paraId="319C962A" w14:textId="77777777" w:rsidR="00E10533" w:rsidRPr="00D56976" w:rsidRDefault="00E10533" w:rsidP="00E10533">
      <w:pPr>
        <w:spacing w:after="0" w:line="240" w:lineRule="auto"/>
        <w:rPr>
          <w:rFonts w:asciiTheme="minorHAnsi" w:eastAsia="Times New Roman" w:hAnsiTheme="minorHAnsi"/>
        </w:rPr>
      </w:pPr>
      <w:r w:rsidRPr="008A5E2B">
        <w:rPr>
          <w:rFonts w:asciiTheme="minorHAnsi" w:eastAsia="Times New Roman" w:hAnsiTheme="minorHAnsi"/>
          <w:b/>
          <w:u w:val="single"/>
        </w:rPr>
        <w:lastRenderedPageBreak/>
        <w:t>Disbursement Process:</w:t>
      </w:r>
      <w:r>
        <w:rPr>
          <w:rFonts w:asciiTheme="minorHAnsi" w:eastAsia="Times New Roman" w:hAnsiTheme="minorHAnsi"/>
        </w:rPr>
        <w:t xml:space="preserve">  Loan funds will be made payable and delivered to the title/closing agent.  The down-payment and closing cost assistance deferred loan will be signed at closing of the purchase mortgage.</w:t>
      </w:r>
    </w:p>
    <w:p w14:paraId="36AC69EB" w14:textId="77777777" w:rsidR="003D6391" w:rsidRPr="00D56976" w:rsidRDefault="003D6391" w:rsidP="003D6391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u w:val="single"/>
        </w:rPr>
      </w:pPr>
    </w:p>
    <w:sectPr w:rsidR="003D6391" w:rsidRPr="00D56976" w:rsidSect="0026121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B4906" w14:textId="77777777" w:rsidR="009523E6" w:rsidRDefault="009523E6" w:rsidP="00655AC8">
      <w:pPr>
        <w:spacing w:after="0" w:line="240" w:lineRule="auto"/>
      </w:pPr>
      <w:r>
        <w:separator/>
      </w:r>
    </w:p>
  </w:endnote>
  <w:endnote w:type="continuationSeparator" w:id="0">
    <w:p w14:paraId="0BBC9307" w14:textId="77777777" w:rsidR="009523E6" w:rsidRDefault="009523E6" w:rsidP="0065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BD1C" w14:textId="45532777" w:rsidR="004B446F" w:rsidRDefault="004B446F" w:rsidP="00467B89">
    <w:pPr>
      <w:pStyle w:val="Footer"/>
      <w:pBdr>
        <w:top w:val="single" w:sz="6" w:space="1" w:color="000000"/>
      </w:pBdr>
      <w:rPr>
        <w:rFonts w:ascii="Arial Narrow" w:hAnsi="Arial Narrow"/>
      </w:rPr>
    </w:pPr>
    <w:r>
      <w:rPr>
        <w:rFonts w:ascii="Arial Narrow" w:hAnsi="Arial Narrow"/>
      </w:rPr>
      <w:t>Exhib</w:t>
    </w:r>
    <w:r w:rsidR="00021031">
      <w:rPr>
        <w:rFonts w:ascii="Arial Narrow" w:hAnsi="Arial Narrow"/>
      </w:rPr>
      <w:t xml:space="preserve">it </w:t>
    </w:r>
    <w:r w:rsidR="00CA64CA">
      <w:rPr>
        <w:rFonts w:ascii="Arial Narrow" w:hAnsi="Arial Narrow"/>
      </w:rPr>
      <w:t>A</w:t>
    </w:r>
    <w:r w:rsidR="006438D6">
      <w:rPr>
        <w:rFonts w:ascii="Arial Narrow" w:hAnsi="Arial Narrow"/>
      </w:rPr>
      <w:t>8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Page </w:t>
    </w:r>
    <w:r w:rsidR="00972BE4">
      <w:rPr>
        <w:rStyle w:val="PageNumber"/>
        <w:rFonts w:ascii="Arial Narrow" w:hAnsi="Arial Narrow"/>
      </w:rPr>
      <w:fldChar w:fldCharType="begin"/>
    </w:r>
    <w:r>
      <w:rPr>
        <w:rStyle w:val="PageNumber"/>
        <w:rFonts w:ascii="Arial Narrow" w:hAnsi="Arial Narrow"/>
      </w:rPr>
      <w:instrText xml:space="preserve"> PAGE </w:instrText>
    </w:r>
    <w:r w:rsidR="00972BE4">
      <w:rPr>
        <w:rStyle w:val="PageNumber"/>
        <w:rFonts w:ascii="Arial Narrow" w:hAnsi="Arial Narrow"/>
      </w:rPr>
      <w:fldChar w:fldCharType="separate"/>
    </w:r>
    <w:r w:rsidR="00BE67F2">
      <w:rPr>
        <w:rStyle w:val="PageNumber"/>
        <w:rFonts w:ascii="Arial Narrow" w:hAnsi="Arial Narrow"/>
        <w:noProof/>
      </w:rPr>
      <w:t>9</w:t>
    </w:r>
    <w:r w:rsidR="00972BE4">
      <w:rPr>
        <w:rStyle w:val="PageNumber"/>
        <w:rFonts w:ascii="Arial Narrow" w:hAnsi="Arial Narrow"/>
      </w:rPr>
      <w:fldChar w:fldCharType="end"/>
    </w:r>
  </w:p>
  <w:p w14:paraId="52D5A6B3" w14:textId="4CEE387A" w:rsidR="004B446F" w:rsidRPr="00BB4B14" w:rsidRDefault="005D3E14" w:rsidP="00BB4B14">
    <w:pPr>
      <w:pStyle w:val="Footer"/>
      <w:rPr>
        <w:szCs w:val="18"/>
      </w:rPr>
    </w:pPr>
    <w:r>
      <w:rPr>
        <w:rStyle w:val="PageNumber"/>
        <w:rFonts w:ascii="Tahoma" w:hAnsi="Tahoma"/>
        <w:snapToGrid w:val="0"/>
        <w:sz w:val="16"/>
      </w:rPr>
      <w:t>CONTRACT between ECONOMIC DEVELOPMENT AUTHORITY in and for the CITY OF MINNETONKA and CENTER FOR ENERGY AND ENVIRONMENT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9BBF" w14:textId="77777777" w:rsidR="004B446F" w:rsidRDefault="004B446F">
    <w:pPr>
      <w:pStyle w:val="Footer"/>
      <w:pBdr>
        <w:top w:val="single" w:sz="6" w:space="1" w:color="auto"/>
      </w:pBdr>
      <w:rPr>
        <w:sz w:val="20"/>
      </w:rPr>
    </w:pPr>
    <w:r>
      <w:rPr>
        <w:sz w:val="20"/>
      </w:rPr>
      <w:t>Logan Park NRP Home Improvement Program – Phase 2</w:t>
    </w:r>
    <w:r>
      <w:rPr>
        <w:sz w:val="20"/>
      </w:rPr>
      <w:tab/>
      <w:t>Page A-</w:t>
    </w:r>
    <w:r w:rsidR="00972BE4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972BE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="00972BE4">
      <w:rPr>
        <w:rStyle w:val="PageNumber"/>
        <w:sz w:val="20"/>
      </w:rPr>
      <w:fldChar w:fldCharType="end"/>
    </w:r>
  </w:p>
  <w:p w14:paraId="44E3B186" w14:textId="77777777" w:rsidR="004B446F" w:rsidRDefault="004B446F">
    <w:pPr>
      <w:pStyle w:val="Footer"/>
    </w:pPr>
    <w:r>
      <w:rPr>
        <w:sz w:val="20"/>
      </w:rPr>
      <w:t>Center for Energy and Environment</w:t>
    </w:r>
    <w:r>
      <w:rPr>
        <w:sz w:val="20"/>
      </w:rPr>
      <w:tab/>
    </w:r>
    <w:r>
      <w:rPr>
        <w:sz w:val="20"/>
      </w:rPr>
      <w:tab/>
      <w:t>2-June-08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C06B" w14:textId="77777777" w:rsidR="009523E6" w:rsidRDefault="009523E6" w:rsidP="00655AC8">
      <w:pPr>
        <w:spacing w:after="0" w:line="240" w:lineRule="auto"/>
      </w:pPr>
      <w:r>
        <w:separator/>
      </w:r>
    </w:p>
  </w:footnote>
  <w:footnote w:type="continuationSeparator" w:id="0">
    <w:p w14:paraId="127C690E" w14:textId="77777777" w:rsidR="009523E6" w:rsidRDefault="009523E6" w:rsidP="0065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37BC" w14:textId="77777777" w:rsidR="004B446F" w:rsidRPr="00270F8C" w:rsidRDefault="004B446F" w:rsidP="00261218">
    <w:pPr>
      <w:pStyle w:val="Header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E21C" w14:textId="77777777" w:rsidR="004B446F" w:rsidRPr="005E1592" w:rsidRDefault="004B446F" w:rsidP="00261218">
    <w:pPr>
      <w:pStyle w:val="Heading1"/>
      <w:ind w:firstLine="720"/>
    </w:pPr>
    <w:r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E1592">
      <w:t xml:space="preserve">             EXHIBITA-08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B63B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E870326"/>
    <w:multiLevelType w:val="hybridMultilevel"/>
    <w:tmpl w:val="CAFE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669"/>
    <w:multiLevelType w:val="hybridMultilevel"/>
    <w:tmpl w:val="E30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B60"/>
    <w:multiLevelType w:val="hybridMultilevel"/>
    <w:tmpl w:val="8FB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D7B0E"/>
    <w:multiLevelType w:val="hybridMultilevel"/>
    <w:tmpl w:val="4004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21EE8"/>
    <w:multiLevelType w:val="hybridMultilevel"/>
    <w:tmpl w:val="90A2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384"/>
    <w:multiLevelType w:val="hybridMultilevel"/>
    <w:tmpl w:val="F58C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8EB"/>
    <w:multiLevelType w:val="singleLevel"/>
    <w:tmpl w:val="DD1647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414022"/>
    <w:multiLevelType w:val="singleLevel"/>
    <w:tmpl w:val="15A6DE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D083E8B"/>
    <w:multiLevelType w:val="singleLevel"/>
    <w:tmpl w:val="4048937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2DA1BE2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25A412A"/>
    <w:multiLevelType w:val="hybridMultilevel"/>
    <w:tmpl w:val="C0A29626"/>
    <w:lvl w:ilvl="0" w:tplc="DE24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E46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F462E"/>
    <w:multiLevelType w:val="singleLevel"/>
    <w:tmpl w:val="328437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7C0434B"/>
    <w:multiLevelType w:val="hybridMultilevel"/>
    <w:tmpl w:val="B75C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0011"/>
    <w:multiLevelType w:val="singleLevel"/>
    <w:tmpl w:val="7B4EC0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946181"/>
    <w:multiLevelType w:val="singleLevel"/>
    <w:tmpl w:val="76A407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895382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 w16cid:durableId="31217510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51823295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7593107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405686162">
    <w:abstractNumId w:val="1"/>
  </w:num>
  <w:num w:numId="6" w16cid:durableId="728655900">
    <w:abstractNumId w:val="12"/>
  </w:num>
  <w:num w:numId="7" w16cid:durableId="1792479893">
    <w:abstractNumId w:val="6"/>
  </w:num>
  <w:num w:numId="8" w16cid:durableId="741832791">
    <w:abstractNumId w:val="14"/>
  </w:num>
  <w:num w:numId="9" w16cid:durableId="893850092">
    <w:abstractNumId w:val="7"/>
  </w:num>
  <w:num w:numId="10" w16cid:durableId="402525795">
    <w:abstractNumId w:val="10"/>
  </w:num>
  <w:num w:numId="11" w16cid:durableId="448552505">
    <w:abstractNumId w:val="9"/>
  </w:num>
  <w:num w:numId="12" w16cid:durableId="1641617671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518933189">
    <w:abstractNumId w:val="15"/>
  </w:num>
  <w:num w:numId="14" w16cid:durableId="873344978">
    <w:abstractNumId w:val="8"/>
  </w:num>
  <w:num w:numId="15" w16cid:durableId="1257636181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11485223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17857926">
    <w:abstractNumId w:val="5"/>
  </w:num>
  <w:num w:numId="18" w16cid:durableId="271396895">
    <w:abstractNumId w:val="2"/>
  </w:num>
  <w:num w:numId="19" w16cid:durableId="1002900564">
    <w:abstractNumId w:val="3"/>
  </w:num>
  <w:num w:numId="20" w16cid:durableId="841891723">
    <w:abstractNumId w:val="11"/>
  </w:num>
  <w:num w:numId="21" w16cid:durableId="85080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DMzNzQ3NTAyMTdS0lEKTi0uzszPAykwrQUAyZdgeiwAAAA="/>
  </w:docVars>
  <w:rsids>
    <w:rsidRoot w:val="00655AC8"/>
    <w:rsid w:val="000071ED"/>
    <w:rsid w:val="00011E82"/>
    <w:rsid w:val="0002088D"/>
    <w:rsid w:val="00021031"/>
    <w:rsid w:val="00025355"/>
    <w:rsid w:val="000274AA"/>
    <w:rsid w:val="00031CB6"/>
    <w:rsid w:val="000378AB"/>
    <w:rsid w:val="00062244"/>
    <w:rsid w:val="00073295"/>
    <w:rsid w:val="00087509"/>
    <w:rsid w:val="000A245C"/>
    <w:rsid w:val="000A2DBE"/>
    <w:rsid w:val="000B015E"/>
    <w:rsid w:val="000D6621"/>
    <w:rsid w:val="000E72D8"/>
    <w:rsid w:val="000F73B1"/>
    <w:rsid w:val="00100239"/>
    <w:rsid w:val="00107B8C"/>
    <w:rsid w:val="00112154"/>
    <w:rsid w:val="00151512"/>
    <w:rsid w:val="0015253D"/>
    <w:rsid w:val="00155D66"/>
    <w:rsid w:val="00162D56"/>
    <w:rsid w:val="00163DAD"/>
    <w:rsid w:val="001730DA"/>
    <w:rsid w:val="00192D92"/>
    <w:rsid w:val="00194FD6"/>
    <w:rsid w:val="001978FF"/>
    <w:rsid w:val="001C07ED"/>
    <w:rsid w:val="001C09E4"/>
    <w:rsid w:val="001E2937"/>
    <w:rsid w:val="001E293F"/>
    <w:rsid w:val="001F75DF"/>
    <w:rsid w:val="0021003B"/>
    <w:rsid w:val="002102C0"/>
    <w:rsid w:val="00220AC3"/>
    <w:rsid w:val="00247662"/>
    <w:rsid w:val="00261218"/>
    <w:rsid w:val="00264134"/>
    <w:rsid w:val="002655F0"/>
    <w:rsid w:val="00271FD7"/>
    <w:rsid w:val="0027660E"/>
    <w:rsid w:val="00277693"/>
    <w:rsid w:val="002868AB"/>
    <w:rsid w:val="00286F34"/>
    <w:rsid w:val="0028753D"/>
    <w:rsid w:val="00296993"/>
    <w:rsid w:val="002A57CB"/>
    <w:rsid w:val="002D35EE"/>
    <w:rsid w:val="002D3F5C"/>
    <w:rsid w:val="002E0E6A"/>
    <w:rsid w:val="002F00F5"/>
    <w:rsid w:val="00300693"/>
    <w:rsid w:val="00303E09"/>
    <w:rsid w:val="00313416"/>
    <w:rsid w:val="00315C37"/>
    <w:rsid w:val="00361FA1"/>
    <w:rsid w:val="00372C26"/>
    <w:rsid w:val="00380987"/>
    <w:rsid w:val="003C680C"/>
    <w:rsid w:val="003C7B61"/>
    <w:rsid w:val="003D079D"/>
    <w:rsid w:val="003D4A47"/>
    <w:rsid w:val="003D6391"/>
    <w:rsid w:val="003E5DBC"/>
    <w:rsid w:val="0040354C"/>
    <w:rsid w:val="00427531"/>
    <w:rsid w:val="004358F9"/>
    <w:rsid w:val="00444E2B"/>
    <w:rsid w:val="00445840"/>
    <w:rsid w:val="0046329F"/>
    <w:rsid w:val="00467B89"/>
    <w:rsid w:val="00471956"/>
    <w:rsid w:val="0047439D"/>
    <w:rsid w:val="00497A72"/>
    <w:rsid w:val="004B446F"/>
    <w:rsid w:val="004C640F"/>
    <w:rsid w:val="004C675A"/>
    <w:rsid w:val="004D02AA"/>
    <w:rsid w:val="004D5241"/>
    <w:rsid w:val="004E2012"/>
    <w:rsid w:val="004F388F"/>
    <w:rsid w:val="005001FC"/>
    <w:rsid w:val="005067AC"/>
    <w:rsid w:val="005072D9"/>
    <w:rsid w:val="00535879"/>
    <w:rsid w:val="00574E97"/>
    <w:rsid w:val="00576AEF"/>
    <w:rsid w:val="005941AD"/>
    <w:rsid w:val="005A7E1C"/>
    <w:rsid w:val="005B7E5F"/>
    <w:rsid w:val="005D0215"/>
    <w:rsid w:val="005D3E14"/>
    <w:rsid w:val="005D617B"/>
    <w:rsid w:val="005E5378"/>
    <w:rsid w:val="005E76AF"/>
    <w:rsid w:val="005F06B7"/>
    <w:rsid w:val="00630397"/>
    <w:rsid w:val="00630697"/>
    <w:rsid w:val="006438D6"/>
    <w:rsid w:val="00646BC1"/>
    <w:rsid w:val="00655AC8"/>
    <w:rsid w:val="00662052"/>
    <w:rsid w:val="0066442F"/>
    <w:rsid w:val="00664CAF"/>
    <w:rsid w:val="006709ED"/>
    <w:rsid w:val="00676C5F"/>
    <w:rsid w:val="00690E41"/>
    <w:rsid w:val="00693833"/>
    <w:rsid w:val="00695673"/>
    <w:rsid w:val="006A2A74"/>
    <w:rsid w:val="006B50B9"/>
    <w:rsid w:val="006B63F6"/>
    <w:rsid w:val="006E2B83"/>
    <w:rsid w:val="006F1349"/>
    <w:rsid w:val="006F3792"/>
    <w:rsid w:val="00716183"/>
    <w:rsid w:val="00721CB4"/>
    <w:rsid w:val="00722BE7"/>
    <w:rsid w:val="00724587"/>
    <w:rsid w:val="00732AA9"/>
    <w:rsid w:val="00732C55"/>
    <w:rsid w:val="00747579"/>
    <w:rsid w:val="007527C8"/>
    <w:rsid w:val="00753C5E"/>
    <w:rsid w:val="00754215"/>
    <w:rsid w:val="0076170D"/>
    <w:rsid w:val="0078108C"/>
    <w:rsid w:val="00781183"/>
    <w:rsid w:val="00786DEE"/>
    <w:rsid w:val="00787F07"/>
    <w:rsid w:val="007A360F"/>
    <w:rsid w:val="007A410F"/>
    <w:rsid w:val="007B268D"/>
    <w:rsid w:val="007C0AB9"/>
    <w:rsid w:val="007C202B"/>
    <w:rsid w:val="007C6170"/>
    <w:rsid w:val="007D35B2"/>
    <w:rsid w:val="007D71DE"/>
    <w:rsid w:val="007E3111"/>
    <w:rsid w:val="007E4654"/>
    <w:rsid w:val="007F771E"/>
    <w:rsid w:val="008147BA"/>
    <w:rsid w:val="00815456"/>
    <w:rsid w:val="00822E6C"/>
    <w:rsid w:val="00823878"/>
    <w:rsid w:val="00823A6D"/>
    <w:rsid w:val="008270FE"/>
    <w:rsid w:val="00830CFA"/>
    <w:rsid w:val="00832B41"/>
    <w:rsid w:val="0085237A"/>
    <w:rsid w:val="00856A92"/>
    <w:rsid w:val="00882881"/>
    <w:rsid w:val="008A5E2B"/>
    <w:rsid w:val="008A753A"/>
    <w:rsid w:val="008B473A"/>
    <w:rsid w:val="008D0F97"/>
    <w:rsid w:val="008E3A1E"/>
    <w:rsid w:val="008F0E35"/>
    <w:rsid w:val="008F703B"/>
    <w:rsid w:val="00915C90"/>
    <w:rsid w:val="00920838"/>
    <w:rsid w:val="009426F5"/>
    <w:rsid w:val="009523E6"/>
    <w:rsid w:val="00956652"/>
    <w:rsid w:val="009718A5"/>
    <w:rsid w:val="0097271A"/>
    <w:rsid w:val="00972BE4"/>
    <w:rsid w:val="0097798A"/>
    <w:rsid w:val="0099094B"/>
    <w:rsid w:val="009A5634"/>
    <w:rsid w:val="009B201D"/>
    <w:rsid w:val="009C299D"/>
    <w:rsid w:val="009F75D0"/>
    <w:rsid w:val="009F78D9"/>
    <w:rsid w:val="00A024DA"/>
    <w:rsid w:val="00A34668"/>
    <w:rsid w:val="00A67D08"/>
    <w:rsid w:val="00A71CBD"/>
    <w:rsid w:val="00A823BF"/>
    <w:rsid w:val="00A826A3"/>
    <w:rsid w:val="00AA019E"/>
    <w:rsid w:val="00AA79D1"/>
    <w:rsid w:val="00AB10CD"/>
    <w:rsid w:val="00AB6300"/>
    <w:rsid w:val="00AB6A82"/>
    <w:rsid w:val="00AB79D5"/>
    <w:rsid w:val="00AE6069"/>
    <w:rsid w:val="00AE62B6"/>
    <w:rsid w:val="00B40337"/>
    <w:rsid w:val="00B74B64"/>
    <w:rsid w:val="00B823C2"/>
    <w:rsid w:val="00B85FBF"/>
    <w:rsid w:val="00B931C9"/>
    <w:rsid w:val="00B95395"/>
    <w:rsid w:val="00BB4B14"/>
    <w:rsid w:val="00BD30D0"/>
    <w:rsid w:val="00BE3748"/>
    <w:rsid w:val="00BE67F2"/>
    <w:rsid w:val="00C022C4"/>
    <w:rsid w:val="00C026C8"/>
    <w:rsid w:val="00C03D09"/>
    <w:rsid w:val="00C140D6"/>
    <w:rsid w:val="00C17175"/>
    <w:rsid w:val="00C24648"/>
    <w:rsid w:val="00C246B9"/>
    <w:rsid w:val="00C41F87"/>
    <w:rsid w:val="00C42C9B"/>
    <w:rsid w:val="00C43EC7"/>
    <w:rsid w:val="00C54A70"/>
    <w:rsid w:val="00C703E7"/>
    <w:rsid w:val="00C9727E"/>
    <w:rsid w:val="00CA0A45"/>
    <w:rsid w:val="00CA64CA"/>
    <w:rsid w:val="00CA71A2"/>
    <w:rsid w:val="00CA74C6"/>
    <w:rsid w:val="00CB5C36"/>
    <w:rsid w:val="00CD5111"/>
    <w:rsid w:val="00CF6258"/>
    <w:rsid w:val="00D4189B"/>
    <w:rsid w:val="00D43CCC"/>
    <w:rsid w:val="00D56976"/>
    <w:rsid w:val="00D61086"/>
    <w:rsid w:val="00D679DC"/>
    <w:rsid w:val="00D71128"/>
    <w:rsid w:val="00D713D7"/>
    <w:rsid w:val="00D87DDE"/>
    <w:rsid w:val="00DA59E3"/>
    <w:rsid w:val="00DB1E68"/>
    <w:rsid w:val="00DC09D4"/>
    <w:rsid w:val="00DC482D"/>
    <w:rsid w:val="00DC56C7"/>
    <w:rsid w:val="00DC7D6A"/>
    <w:rsid w:val="00DD0A99"/>
    <w:rsid w:val="00DD4944"/>
    <w:rsid w:val="00DD6183"/>
    <w:rsid w:val="00DE4105"/>
    <w:rsid w:val="00DF4583"/>
    <w:rsid w:val="00DF49F3"/>
    <w:rsid w:val="00E10533"/>
    <w:rsid w:val="00E10B1D"/>
    <w:rsid w:val="00E27316"/>
    <w:rsid w:val="00E37752"/>
    <w:rsid w:val="00E45529"/>
    <w:rsid w:val="00E64E23"/>
    <w:rsid w:val="00E701AE"/>
    <w:rsid w:val="00E8347B"/>
    <w:rsid w:val="00E84EA8"/>
    <w:rsid w:val="00E95742"/>
    <w:rsid w:val="00E95B48"/>
    <w:rsid w:val="00EA124C"/>
    <w:rsid w:val="00EA690C"/>
    <w:rsid w:val="00EC134F"/>
    <w:rsid w:val="00EC205C"/>
    <w:rsid w:val="00EC7FE9"/>
    <w:rsid w:val="00ED047A"/>
    <w:rsid w:val="00EE2B3C"/>
    <w:rsid w:val="00F033B4"/>
    <w:rsid w:val="00F129BE"/>
    <w:rsid w:val="00F12AA7"/>
    <w:rsid w:val="00F13113"/>
    <w:rsid w:val="00F13619"/>
    <w:rsid w:val="00F22ACF"/>
    <w:rsid w:val="00F32215"/>
    <w:rsid w:val="00F364A7"/>
    <w:rsid w:val="00F50AB7"/>
    <w:rsid w:val="00F55EBF"/>
    <w:rsid w:val="00F6507D"/>
    <w:rsid w:val="00F75929"/>
    <w:rsid w:val="00F84723"/>
    <w:rsid w:val="00FB7A07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F2FC"/>
  <w15:docId w15:val="{66DA1ABF-3673-4316-88BE-6C28A12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A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5A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5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C8"/>
  </w:style>
  <w:style w:type="paragraph" w:styleId="Footer">
    <w:name w:val="footer"/>
    <w:basedOn w:val="Normal"/>
    <w:link w:val="FooterChar"/>
    <w:unhideWhenUsed/>
    <w:rsid w:val="0065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5AC8"/>
  </w:style>
  <w:style w:type="character" w:styleId="PageNumber">
    <w:name w:val="page number"/>
    <w:rsid w:val="00655AC8"/>
  </w:style>
  <w:style w:type="paragraph" w:styleId="BalloonText">
    <w:name w:val="Balloon Text"/>
    <w:basedOn w:val="Normal"/>
    <w:link w:val="BalloonTextChar"/>
    <w:uiPriority w:val="99"/>
    <w:semiHidden/>
    <w:unhideWhenUsed/>
    <w:rsid w:val="0065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AC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709E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09ED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D63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C7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C5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24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r.stats.10kresearch.com/docs/lmu/x/Minnetonka?src=m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ar.stats.10kresearch.com/docs/lmu/x/Minnetonka?src=ma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D633-8257-46CE-954C-0F6046F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Horan, Joe - Contractor</dc:creator>
  <cp:lastModifiedBy>Danielle Jackson</cp:lastModifiedBy>
  <cp:revision>3</cp:revision>
  <cp:lastPrinted>2013-02-04T17:26:00Z</cp:lastPrinted>
  <dcterms:created xsi:type="dcterms:W3CDTF">2025-01-07T22:37:00Z</dcterms:created>
  <dcterms:modified xsi:type="dcterms:W3CDTF">2025-01-07T22:39:00Z</dcterms:modified>
</cp:coreProperties>
</file>